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 volta ao “novo normal”: desafios sociais e emocionais de crianças e adolescentes no retorno ao ensino presencial</w:t>
      </w:r>
    </w:p>
    <w:p w:rsidR="00AC621A" w:rsidRDefault="004B2FE5" w:rsidP="007956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Evelyn Fernandes Ferreira Lima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1AD0">
        <w:rPr>
          <w:rFonts w:ascii="Times New Roman" w:eastAsia="Times New Roman" w:hAnsi="Times New Roman" w:cs="Times New Roman"/>
          <w:sz w:val="20"/>
          <w:szCs w:val="20"/>
        </w:rPr>
        <w:t>Fabrícia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Carla Viviani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AC621A" w:rsidRDefault="004B2FE5" w:rsidP="007956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Educação, Ciência e Tecnologia de Mato Grosso do Sul – Ponta Porã - MS</w:t>
      </w:r>
    </w:p>
    <w:p w:rsidR="00AC621A" w:rsidRDefault="004B2FE5" w:rsidP="007956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velyn.lima@estudante.ifms.edu.br,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fabricia.viviani@ifms.edu.br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MDIS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Multidisciplinar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Tipo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Pesquisa: Científica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C621A">
          <w:headerReference w:type="default" r:id="rId7"/>
          <w:footerReference w:type="default" r:id="rId8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Palavras-chave: Educação, estudantes, ensino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remoto, pandemia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COVID-19 é uma doença respiratória infecciosa causada pelo novo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(SARS-CoV-2), identificado pela primeira vez em Wuhan, cidade da China, no final de 2019. “O insuficiente conhecimento científico sobre o novo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sua alta velocidade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disseminação e capacidade de provocar mortes em populações vulneráveis, geram incertezas sobre quais seriam as melhores estratégias a serem utilizadas para o enfrentamento da epidemia em diferentes partes do mundo" (WERNECK; CARVALHO; 2020, p. 1). A propa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gação do vírus gerou 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início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uma pandemia que estabeleceu diversos problemas em diversas áreas, como a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desestabilização nos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serviços de saúde e seus profissionais, o colapso no sistema de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saúde, crise sanitária</w:t>
      </w:r>
      <w:r>
        <w:rPr>
          <w:rFonts w:ascii="Times New Roman" w:eastAsia="Times New Roman" w:hAnsi="Times New Roman" w:cs="Times New Roman"/>
          <w:sz w:val="20"/>
          <w:szCs w:val="20"/>
        </w:rPr>
        <w:t>, impactos sociais, econômicos e psicol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ógicos. Esse cenário exigiu a implementação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de medidas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restritivas para controle da propagação do vírus, dentre elas, o distanciamento social.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distanciamento social consiste no ato de se manter distante, de maneira voluntária ou involuntária, da socieda</w:t>
      </w:r>
      <w:r>
        <w:rPr>
          <w:rFonts w:ascii="Times New Roman" w:eastAsia="Times New Roman" w:hAnsi="Times New Roman" w:cs="Times New Roman"/>
          <w:sz w:val="20"/>
          <w:szCs w:val="20"/>
        </w:rPr>
        <w:t>de e/ou convívio com outros indivíduos, e “quando adotado pela população é efetivo, especialmente quando combinado ao isolamento de casos e a quarentena dos contatos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”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AQUINO, 2020, p. 1). Ainda que haja uma diversidade de condições para se viver esse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isolamento, essa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medida desencadeou um conjunto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de consequências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 dentre elas destacamos os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impactos educacionais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medida em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que 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atividades presenciais foram suspensas e substituída pelo ensino remoto.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Conforme o boletim do observatório do COVID-19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realizado pela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FIOCRUZ(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2020, p. 3),  os casos de COVID-19 que ocorrem a partir da faixa dos 20 anos evoluem gravemente e resultam em óbito são cada vez mais frequentes. Considerando que crianças e adolescentes foram menos afetados fisicamente pelo vírus,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 em sua maioria, apresentarem menos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os grupos de risco, temos que atentar que pacientes deste grupo estão vivenciando um agravante estresse emocional.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À implementação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ensino remoto somam-se condições econômicas e sociais que desenca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deiam um conjunto de outros aspectos, inclusive de violências sofridas. Documento elaborado pela Unicef Brasil em parceria com 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Cenpec traz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 panorama da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exclusão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escolar antes e durante a pandemia e mostra que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“desde 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início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2020 1,5 milhões de criança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e adolescentes, na faixa de 6 a 17 anos que pararam de frequentar a escola por não acompanharem as aulas remotas, e que em dezembro de 2021 somam-se mais de 5,1 milhões do mesmo público que em sua maioria já viviam em situação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vulnerável. A exclusão foi </w:t>
      </w:r>
      <w:r>
        <w:rPr>
          <w:rFonts w:ascii="Times New Roman" w:eastAsia="Times New Roman" w:hAnsi="Times New Roman" w:cs="Times New Roman"/>
          <w:sz w:val="20"/>
          <w:szCs w:val="20"/>
        </w:rPr>
        <w:t>maior entre crianças e adolescentes pretos, pardos e indígenas, que correspondem a 69,3% do total de crianças e adolescentes sem acesso à Educação” (UNICEF/CENPEC.2021, p. 9). Um estudo desenvolvido pela Fiocruz (2021, p. 4) ainda que “c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rianças e adolescen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 foram afastados do ambiente escolar durante a pandemia, poderão apresentar: crises de ansiedade, insônia,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irritabilidade, tendência ao desenvolvimento de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episódios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depressivos, falta de empatia e tendências a comportamentos antissociais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Tendo em </w:t>
      </w:r>
      <w:r>
        <w:rPr>
          <w:rFonts w:ascii="Times New Roman" w:eastAsia="Times New Roman" w:hAnsi="Times New Roman" w:cs="Times New Roman"/>
          <w:sz w:val="20"/>
          <w:szCs w:val="20"/>
        </w:rPr>
        <w:t>vista que grande parte deste público agora está em período de adaptação a uma realidade que já não condiz com uma rotina imposta pelas medidas de restrição do vírus do COVID-19, o projeto visa descrever e identificar os desafios sociais e emocionais de cri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anças e adolescentes durante o período de distanciamento e ensino remoto. O projeto a ser desenvolvido também tem como objetivo caracterizar e assimilar quais estão sendo as maiores dificuldades de retornar ao “novo normal”, que para Oliveira e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Carreiro (</w:t>
      </w:r>
      <w:r>
        <w:rPr>
          <w:rFonts w:ascii="Times New Roman" w:eastAsia="Times New Roman" w:hAnsi="Times New Roman" w:cs="Times New Roman"/>
          <w:sz w:val="20"/>
          <w:szCs w:val="20"/>
        </w:rPr>
        <w:t>2021, p. 1), significa a “volta às aulas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mas com uma experiência vivida que pode ter deixado diversos impactos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negativos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não apenas na aprendizagem, mas no desenvolvimento sócio emocional causado pelo isolamento social e distanciamento escolar”.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ogia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 desenvolver este projeto optou-se por utilizar procedimentos bibliográficos e de cole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de dados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caráter </w:t>
      </w:r>
      <w:r>
        <w:rPr>
          <w:rFonts w:ascii="Times New Roman" w:eastAsia="Times New Roman" w:hAnsi="Times New Roman" w:cs="Times New Roman"/>
          <w:sz w:val="20"/>
          <w:szCs w:val="20"/>
        </w:rPr>
        <w:t>quantitativo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qualitativo. Levando em consideração as restrições impostas pela pandemia do COVID-19</w:t>
      </w:r>
      <w:r>
        <w:rPr>
          <w:rFonts w:ascii="Times New Roman" w:eastAsia="Times New Roman" w:hAnsi="Times New Roman" w:cs="Times New Roman"/>
          <w:sz w:val="20"/>
          <w:szCs w:val="20"/>
        </w:rPr>
        <w:t>, este trabalho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fragmentad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duas etapas metodoló</w:t>
      </w:r>
      <w:r>
        <w:rPr>
          <w:rFonts w:ascii="Times New Roman" w:eastAsia="Times New Roman" w:hAnsi="Times New Roman" w:cs="Times New Roman"/>
          <w:sz w:val="20"/>
          <w:szCs w:val="20"/>
        </w:rPr>
        <w:t>gicas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5693" w:rsidRDefault="004B2FE5" w:rsidP="007956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Metodologia</w:t>
      </w:r>
    </w:p>
    <w:p w:rsidR="00AC621A" w:rsidRDefault="004B2FE5" w:rsidP="007956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3095625" cy="11176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t="21033" r="8061" b="2003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21A" w:rsidRDefault="004B2FE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648653" cy="7620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29909" t="14571" r="29670"/>
                    <a:stretch>
                      <a:fillRect/>
                    </a:stretch>
                  </pic:blipFill>
                  <pic:spPr>
                    <a:xfrm>
                      <a:off x="0" y="0"/>
                      <a:ext cx="648653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Fonte: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 w:rsidR="00795693">
        <w:rPr>
          <w:rFonts w:ascii="Times New Roman" w:eastAsia="Times New Roman" w:hAnsi="Times New Roman" w:cs="Times New Roman"/>
          <w:sz w:val="18"/>
          <w:szCs w:val="18"/>
        </w:rPr>
        <w:t>autora,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pesquisa encontra-se em momento inicial de desenvolvimento, ainda restrita à p</w:t>
      </w:r>
      <w:r>
        <w:rPr>
          <w:rFonts w:ascii="Times New Roman" w:eastAsia="Times New Roman" w:hAnsi="Times New Roman" w:cs="Times New Roman"/>
          <w:sz w:val="20"/>
          <w:szCs w:val="20"/>
        </w:rPr>
        <w:t>esquisa bibliográfica. A partir da sistematização dessa primeira parte, pretendemos fazer a seleção do campo de pesquisa, o recrutamento dos participantes da pesquisa, bem como as demais etapas planejadas.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 leituras iniciais sobre o tema Ao decorrer do desenvolvimento do projeto diversos autores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como,  revelam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necessidade de um espaço onde crianças e adolescentes possam compartilhar suas experiências e emoções, nomeando-as e aperfeiçoando suas competênci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socioemocionais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Essa necessidade se intensifica durante o momento em que estiveram distantes do mundo social isolados do mundo exterior. Conforme a OPAS (Organização Pan-Americana de Saúde) e a OMS (Organização Mundial de Saúde) (2021, p 1), “Quando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stúrbios emocionais não são tratados na infância e na adolescência, na vida adulta eles irão representar graves prejuízos para a saúde de modo geral, isso porque os transtornos mentais decorrentes de situações estressoras podem tomar maiores proporções na </w:t>
      </w:r>
      <w:r>
        <w:rPr>
          <w:rFonts w:ascii="Times New Roman" w:eastAsia="Times New Roman" w:hAnsi="Times New Roman" w:cs="Times New Roman"/>
          <w:sz w:val="20"/>
          <w:szCs w:val="20"/>
        </w:rPr>
        <w:t>pandemia e prejudicar o desenvolvimento mental e físico”.</w:t>
      </w:r>
    </w:p>
    <w:p w:rsidR="00AC621A" w:rsidRDefault="00AC621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shd w:val="clear" w:color="auto" w:fill="E2EFD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Considerações Finais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período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distanciamento impossibilitou crianças e adolescentes de vivenciarem da maneira adequada diversos estágios de desenvolvimento emocional e social, uma vez que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a tecnologia juntamente das redes sociais cooperou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que este momento pós isola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mento se tornasse mais preocupante, revelando a importância da psicologia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 xml:space="preserve">e sua relação com a educação.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ente escolar 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>pode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estabelecer um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vínculo </w:t>
      </w:r>
      <w:r>
        <w:rPr>
          <w:rFonts w:ascii="Times New Roman" w:eastAsia="Times New Roman" w:hAnsi="Times New Roman" w:cs="Times New Roman"/>
          <w:sz w:val="20"/>
          <w:szCs w:val="20"/>
        </w:rPr>
        <w:t>entre estas crianças e adolescentes,</w:t>
      </w:r>
      <w:r w:rsidR="00795693">
        <w:rPr>
          <w:rFonts w:ascii="Times New Roman" w:eastAsia="Times New Roman" w:hAnsi="Times New Roman" w:cs="Times New Roman"/>
          <w:sz w:val="20"/>
          <w:szCs w:val="20"/>
        </w:rPr>
        <w:t xml:space="preserve"> com acolhimento emocional e psicológico, estando atendo às disparidades sociais, econômicas e emocionais de se viver o distanciamento, bem como ao retorno às atividades presencias. </w:t>
      </w:r>
    </w:p>
    <w:p w:rsidR="00AC621A" w:rsidRDefault="00AC62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AQUINO, Estela; LIMA,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Raíza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Tourinho dos Reis Silva. Medidas de distanciamento social no controle da pandemia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COVID-19: potenciais impactos e desafios no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Ciência e saúde coletiva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Rio de Janeiro, v. 25, n. 1, 2020. Disponível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https://scielo.br/j/csc/a/4BHTCFF4bDqq4qT7Wt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PhvYr/?format=pdf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em: 3 de set. 2021.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FUNDAÇÃO OSWALDO CRUZ-FIOCRUZ.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Boletim Observatório Covid-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2021). Disponível em: </w:t>
      </w:r>
      <w:hyperlink r:id="rId12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https://portal.fiocruz.br/sites/portal.fiocruz.br/files/documentos/boletim_covid_2021-semanas_14-15-red.pdf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Acesso em: 28 ago. 2021.</w:t>
      </w:r>
    </w:p>
    <w:p w:rsidR="00AC621A" w:rsidRDefault="004B2F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FUNDAÇÃO OSWALDO CRUZ- FIOCRUZ.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Crianças na pandemia do covid-19.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Rio de Janeiro. 2020. Disponível em: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https://www.fiocruzbrasilia.fiocruz.br/</w:t>
        </w:r>
      </w:hyperlink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wp-con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tent</w:t>
        </w:r>
      </w:hyperlink>
      <w:hyperlink r:id="rId15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/uploads/2020/05/crianc%CC%A7as_pandemia.pdf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Acesso em: 6 set. 2021. 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FRANCO, Maria Salazar; SANTOS, Natalie Nobrega. Desenvolvimento da </w:t>
      </w:r>
      <w:r>
        <w:rPr>
          <w:rFonts w:ascii="Times New Roman" w:eastAsia="Times New Roman" w:hAnsi="Times New Roman" w:cs="Times New Roman"/>
          <w:sz w:val="20"/>
          <w:szCs w:val="20"/>
        </w:rPr>
        <w:t>Compreensão Emocional.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Psicologia: teoria e pesquisa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v. 31, n. 3, 2015. Disponível em: </w:t>
      </w:r>
      <w:hyperlink r:id="rId1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https://www.scielo.br/j/ptp</w:t>
        </w:r>
      </w:hyperlink>
      <w:hyperlink r:id="rId17">
        <w:r>
          <w:rPr>
            <w:rFonts w:ascii="Times New Roman" w:eastAsia="Times New Roman" w:hAnsi="Times New Roman" w:cs="Times New Roman"/>
            <w:sz w:val="20"/>
            <w:szCs w:val="20"/>
          </w:rPr>
          <w:t>/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a/z46nh6ghBCgJMsPSHWtVgpJ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/?lang</w:t>
        </w:r>
        <w:proofErr w:type="gram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=pt&amp;format=pdf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 Acesso em: 28 ago. 2021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OLIVEIRA, Murilo Alvarenga; CARREIRO, Eduardo de Lima Pinto. O novo normal da educação, quando o virtual não é fictício.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Lagos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v. 11, n. 1, 2020. Disponível em: </w:t>
      </w:r>
      <w:hyperlink r:id="rId1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https://www.lagos.vr.uff.br/index.php/lagos/article/view/353/235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em: 3 set. 2021.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ORGANIZAÇÃO PAN-AMERICANA DA SAÚDE.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Saúde mental dos adolescentes.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In: Saúde mental dos adolescentes. Paho.org, 2021. Disponível em: https://www.paho.org/pt/topicos/s</w:t>
      </w:r>
      <w:r>
        <w:rPr>
          <w:rFonts w:ascii="Times New Roman" w:eastAsia="Times New Roman" w:hAnsi="Times New Roman" w:cs="Times New Roman"/>
          <w:sz w:val="20"/>
          <w:szCs w:val="20"/>
        </w:rPr>
        <w:t>aude-mental-dos-adolescentes. Acesso em: 3 set. 2021.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UNICEF Brasil; CENPEC EDUCAÇÃO.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Cenário da exclusão social no Brasil: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 alerta sobre os impactos da pandemia do COVID-19 na educação. UNICEF Brasil, Brasília, 2021. Disponível em: </w:t>
      </w:r>
      <w:hyperlink r:id="rId20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https://www.unicef.org/brazil/media/14026/file/cenario-da-exclusao-escolar-no-brasil</w:t>
        </w:r>
      </w:hyperlink>
      <w:hyperlink r:id="rId21"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hyperlink>
      <w:hyperlink r:id="rId2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Acesso em 4 de set. 2021.</w:t>
      </w:r>
    </w:p>
    <w:p w:rsidR="00AC621A" w:rsidRDefault="004B2F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WERNECK, Guilherme Loureiro. CARVALHO, Marília Sá.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pandemia de COVID-19 no Brasil: crônica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uma crise sanitária anunciada.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Cadernos de Saúde Pública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Rio de Janeiro, v. 36, n. 5, 2020. Disponível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em  </w:t>
      </w:r>
      <w:hyperlink r:id="rId2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http://cadernos.ensp.fiocruz.br/static//arq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uivo/</w:t>
        </w:r>
        <w:proofErr w:type="gramEnd"/>
      </w:hyperlink>
      <w:hyperlink r:id="rId24">
        <w:r>
          <w:rPr>
            <w:rFonts w:ascii="Times New Roman" w:eastAsia="Times New Roman" w:hAnsi="Times New Roman" w:cs="Times New Roman"/>
            <w:sz w:val="20"/>
            <w:szCs w:val="20"/>
          </w:rPr>
          <w:t>1678-4464-csp-36-05-e00068820</w:t>
        </w:r>
      </w:hyperlink>
      <w:hyperlink r:id="rId2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 Acesso em: 3 </w:t>
      </w:r>
      <w:r>
        <w:rPr>
          <w:rFonts w:ascii="Times New Roman" w:eastAsia="Times New Roman" w:hAnsi="Times New Roman" w:cs="Times New Roman"/>
          <w:sz w:val="20"/>
          <w:szCs w:val="20"/>
        </w:rPr>
        <w:t>set. 2021.</w:t>
      </w:r>
    </w:p>
    <w:sectPr w:rsidR="00AC621A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E5" w:rsidRDefault="004B2FE5">
      <w:r>
        <w:separator/>
      </w:r>
    </w:p>
  </w:endnote>
  <w:endnote w:type="continuationSeparator" w:id="0">
    <w:p w:rsidR="004B2FE5" w:rsidRDefault="004B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1A" w:rsidRDefault="004B2FE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3812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E5" w:rsidRDefault="004B2FE5">
      <w:r>
        <w:separator/>
      </w:r>
    </w:p>
  </w:footnote>
  <w:footnote w:type="continuationSeparator" w:id="0">
    <w:p w:rsidR="004B2FE5" w:rsidRDefault="004B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1A" w:rsidRDefault="00AC621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AC621A" w:rsidRDefault="004B2FE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1A"/>
    <w:rsid w:val="004B2FE5"/>
    <w:rsid w:val="00795693"/>
    <w:rsid w:val="00892E43"/>
    <w:rsid w:val="00A41AD0"/>
    <w:rsid w:val="00A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C1E3D-E7F6-49AE-9102-F17A891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92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iocruzbrasilia.fiocruz.br/wp-content/uploads/2020/05/crianc%CC%A7as_pandemia.pdf" TargetMode="External"/><Relationship Id="rId18" Type="http://schemas.openxmlformats.org/officeDocument/2006/relationships/hyperlink" Target="https://www.scielo.br/j/ptp/a/z46nh6ghBCgJMsPSHWtVgpJ/?lang=pt&amp;format=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nicef.org/brazil/media/14026/file/cenario-da-exclusao-escolar-no-brasil.pdf" TargetMode="External"/><Relationship Id="rId7" Type="http://schemas.openxmlformats.org/officeDocument/2006/relationships/header" Target="header1.xml"/><Relationship Id="rId12" Type="http://schemas.openxmlformats.org/officeDocument/2006/relationships/hyperlink" Target="https://portal.fiocruz.br/sites/portal.fiocruz.br/files/documentos/boletim_covid_2021-semanas_14-15-red.pdf" TargetMode="External"/><Relationship Id="rId17" Type="http://schemas.openxmlformats.org/officeDocument/2006/relationships/hyperlink" Target="https://www.scielo.br/j/ptp/a/z46nh6ghBCgJMsPSHWtVgpJ/?lang=pt&amp;format=pdf" TargetMode="External"/><Relationship Id="rId25" Type="http://schemas.openxmlformats.org/officeDocument/2006/relationships/hyperlink" Target="http://cadernos.ensp.fiocruz.br/static//arquivo/1678-4464-csp-36-05-e000688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lo.br/j/ptp/a/z46nh6ghBCgJMsPSHWtVgpJ/?lang=pt&amp;format=pdf" TargetMode="External"/><Relationship Id="rId20" Type="http://schemas.openxmlformats.org/officeDocument/2006/relationships/hyperlink" Target="https://www.unicef.org/brazil/media/14026/file/cenario-da-exclusao-escolar-no-brasil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ielo.br/j/csc/a/4BHTCFF4bDqq4qT7WtPhvYr/?format=pdf" TargetMode="External"/><Relationship Id="rId24" Type="http://schemas.openxmlformats.org/officeDocument/2006/relationships/hyperlink" Target="http://cadernos.ensp.fiocruz.br/static//arquivo/1678-4464-csp-36-05-e000688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ocruzbrasilia.fiocruz.br/wp-content/uploads/2020/05/crianc%CC%A7as_pandemia.pdf" TargetMode="External"/><Relationship Id="rId23" Type="http://schemas.openxmlformats.org/officeDocument/2006/relationships/hyperlink" Target="http://cadernos.ensp.fiocruz.br/static//arquivo/1678-4464-csp-36-05-e00068820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lagos.vr.uff.br/index.php/lagos/article/view/353/2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iocruzbrasilia.fiocruz.br/wp-content/uploads/2020/05/crianc%CC%A7as_pandemia.pdf" TargetMode="External"/><Relationship Id="rId22" Type="http://schemas.openxmlformats.org/officeDocument/2006/relationships/hyperlink" Target="https://www.unicef.org/brazil/media/14026/file/cenario-da-exclusao-escolar-no-brasil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A5V8KDssUI0leWPbiE2GfNC6g==">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Fabrícia</dc:creator>
  <cp:lastModifiedBy>Fabrícia Viviani</cp:lastModifiedBy>
  <cp:revision>3</cp:revision>
  <dcterms:created xsi:type="dcterms:W3CDTF">2021-09-07T14:55:00Z</dcterms:created>
  <dcterms:modified xsi:type="dcterms:W3CDTF">2021-09-07T14:56:00Z</dcterms:modified>
</cp:coreProperties>
</file>